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E24" w14:textId="705562B8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Informace pro zaměstnavatele k Milostivému létu</w:t>
      </w:r>
      <w:r w:rsidR="007E2F3F">
        <w:rPr>
          <w:rFonts w:ascii="Calibri,Bold" w:hAnsi="Calibri,Bold" w:cs="Calibri,Bold"/>
          <w:b/>
          <w:bCs/>
          <w:sz w:val="26"/>
          <w:szCs w:val="26"/>
        </w:rPr>
        <w:t xml:space="preserve"> (podle stavu k 9.11.2021)</w:t>
      </w:r>
    </w:p>
    <w:p w14:paraId="0AC426CA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Dovolujeme si upozornit, že Milostivé léto dopadá jen na případy vyjmenované v zákoně:</w:t>
      </w:r>
    </w:p>
    <w:p w14:paraId="2210C297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1) musí jít o exekuci zahájenou do 27.10.2021</w:t>
      </w:r>
    </w:p>
    <w:p w14:paraId="7805DEF6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2) povinným je fyzická osoba</w:t>
      </w:r>
    </w:p>
    <w:p w14:paraId="144787D8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3) oprávněným je:</w:t>
      </w:r>
    </w:p>
    <w:p w14:paraId="17332258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a) </w:t>
      </w:r>
      <w:r>
        <w:rPr>
          <w:rFonts w:ascii="Calibri" w:hAnsi="Calibri" w:cs="Calibri"/>
          <w:sz w:val="21"/>
          <w:szCs w:val="21"/>
        </w:rPr>
        <w:t>Česká republika,</w:t>
      </w:r>
    </w:p>
    <w:p w14:paraId="1FB0B903" w14:textId="37D50A94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b) </w:t>
      </w:r>
      <w:r>
        <w:rPr>
          <w:rFonts w:ascii="Calibri" w:hAnsi="Calibri" w:cs="Calibri"/>
          <w:sz w:val="21"/>
          <w:szCs w:val="21"/>
        </w:rPr>
        <w:t>územní samosprávný celek, včetně městské části nebo městského obvodu územně členěného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statutárního města nebo městské části hlavního města Prahy,</w:t>
      </w:r>
    </w:p>
    <w:p w14:paraId="59B66AED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c) </w:t>
      </w:r>
      <w:r>
        <w:rPr>
          <w:rFonts w:ascii="Calibri" w:hAnsi="Calibri" w:cs="Calibri"/>
          <w:sz w:val="21"/>
          <w:szCs w:val="21"/>
        </w:rPr>
        <w:t>státní příspěvková organizace,</w:t>
      </w:r>
    </w:p>
    <w:p w14:paraId="4630E0D6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d) </w:t>
      </w:r>
      <w:r>
        <w:rPr>
          <w:rFonts w:ascii="Calibri" w:hAnsi="Calibri" w:cs="Calibri"/>
          <w:sz w:val="21"/>
          <w:szCs w:val="21"/>
        </w:rPr>
        <w:t>státní fond,</w:t>
      </w:r>
    </w:p>
    <w:p w14:paraId="5C2E4A4E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e) </w:t>
      </w:r>
      <w:r>
        <w:rPr>
          <w:rFonts w:ascii="Calibri" w:hAnsi="Calibri" w:cs="Calibri"/>
          <w:sz w:val="21"/>
          <w:szCs w:val="21"/>
        </w:rPr>
        <w:t>veřejná výzkumná instituce nebo veřejná vysoká škola,</w:t>
      </w:r>
    </w:p>
    <w:p w14:paraId="76E586FF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f) </w:t>
      </w:r>
      <w:r>
        <w:rPr>
          <w:rFonts w:ascii="Calibri" w:hAnsi="Calibri" w:cs="Calibri"/>
          <w:sz w:val="21"/>
          <w:szCs w:val="21"/>
        </w:rPr>
        <w:t>dobrovolný svazek obcí,</w:t>
      </w:r>
    </w:p>
    <w:p w14:paraId="5E78DDB8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g) </w:t>
      </w:r>
      <w:r>
        <w:rPr>
          <w:rFonts w:ascii="Calibri" w:hAnsi="Calibri" w:cs="Calibri"/>
          <w:sz w:val="21"/>
          <w:szCs w:val="21"/>
        </w:rPr>
        <w:t>regionální rada regionu soudržnosti,</w:t>
      </w:r>
    </w:p>
    <w:p w14:paraId="5DDECA10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h) </w:t>
      </w:r>
      <w:r>
        <w:rPr>
          <w:rFonts w:ascii="Calibri" w:hAnsi="Calibri" w:cs="Calibri"/>
          <w:sz w:val="21"/>
          <w:szCs w:val="21"/>
        </w:rPr>
        <w:t>příspěvková organizace územního samosprávného celku,</w:t>
      </w:r>
    </w:p>
    <w:p w14:paraId="46FAA912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i) </w:t>
      </w:r>
      <w:r>
        <w:rPr>
          <w:rFonts w:ascii="Calibri" w:hAnsi="Calibri" w:cs="Calibri"/>
          <w:sz w:val="21"/>
          <w:szCs w:val="21"/>
        </w:rPr>
        <w:t>ústav založený státem nebo územním samosprávným celkem,</w:t>
      </w:r>
    </w:p>
    <w:p w14:paraId="1934E88A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j) </w:t>
      </w:r>
      <w:r>
        <w:rPr>
          <w:rFonts w:ascii="Calibri" w:hAnsi="Calibri" w:cs="Calibri"/>
          <w:sz w:val="21"/>
          <w:szCs w:val="21"/>
        </w:rPr>
        <w:t>obecně prospěšná společnost založená státem nebo územním samosprávným celkem,</w:t>
      </w:r>
    </w:p>
    <w:p w14:paraId="1DC9B72C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k) </w:t>
      </w:r>
      <w:r>
        <w:rPr>
          <w:rFonts w:ascii="Calibri" w:hAnsi="Calibri" w:cs="Calibri"/>
          <w:sz w:val="21"/>
          <w:szCs w:val="21"/>
        </w:rPr>
        <w:t>státní podnik nebo národní podnik,</w:t>
      </w:r>
    </w:p>
    <w:p w14:paraId="5E84DFEF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l) </w:t>
      </w:r>
      <w:r>
        <w:rPr>
          <w:rFonts w:ascii="Calibri" w:hAnsi="Calibri" w:cs="Calibri"/>
          <w:sz w:val="21"/>
          <w:szCs w:val="21"/>
        </w:rPr>
        <w:t>zdravotní pojišťovna,</w:t>
      </w:r>
    </w:p>
    <w:p w14:paraId="2A8FC292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m) </w:t>
      </w:r>
      <w:r>
        <w:rPr>
          <w:rFonts w:ascii="Calibri" w:hAnsi="Calibri" w:cs="Calibri"/>
          <w:sz w:val="21"/>
          <w:szCs w:val="21"/>
        </w:rPr>
        <w:t>Český rozhlas nebo Česká televize, nebo</w:t>
      </w:r>
    </w:p>
    <w:p w14:paraId="1DF1D87F" w14:textId="3B4C30EF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Italic" w:hAnsi="Calibri,Italic" w:cs="Calibri,Italic"/>
          <w:i/>
          <w:iCs/>
          <w:sz w:val="21"/>
          <w:szCs w:val="21"/>
        </w:rPr>
        <w:t xml:space="preserve">n) </w:t>
      </w:r>
      <w:r>
        <w:rPr>
          <w:rFonts w:ascii="Calibri" w:hAnsi="Calibri" w:cs="Calibri"/>
          <w:sz w:val="21"/>
          <w:szCs w:val="21"/>
        </w:rPr>
        <w:t>právnická osoba, v níž má stát nebo územní samosprávný celek sám nebo s jinými územními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samosprávnými celky většinovou majetkovou účast, a to i prostřednictvím jiné právnické osoby (dále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jen „veřejnoprávní oprávnění“)</w:t>
      </w:r>
    </w:p>
    <w:p w14:paraId="0A0A11B4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20B346F" w14:textId="78AC6E22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Všechny 3 podmínky musí být splněny současně. Na jiné exekuce milostivé léto nedopadá a nelze se ho</w:t>
      </w:r>
    </w:p>
    <w:p w14:paraId="62E77E48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dovolávat.</w:t>
      </w:r>
    </w:p>
    <w:p w14:paraId="5DFB0FA5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9BCE952" w14:textId="3F2C73D0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 případě, že exekuce splňuje výše uvedené parametry, může povinný v době od 28.10.2021 do 28.1.2022 využít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milostivého léta tím, že v takové exekuci uhradí jistinu na vymáhanou pohledávku spolu s náklady exekuce ve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výši 908 Kč. Pokud je v řízení vymáháno více jistin, posuzují se podmínky splnění a osvobození od placení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příslušenství pro každou jistinu zvlášť.</w:t>
      </w:r>
    </w:p>
    <w:p w14:paraId="60D4F854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F4FE45B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 ukončení exekuce dojde i tam, kde povinný jistinu a náklady exekuce alespoň ve výši 908 Kč uhradil před tímto</w:t>
      </w:r>
    </w:p>
    <w:p w14:paraId="06F82A50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datem a exekuce pokračuje již jen pro vymožení příslušenství. Prostředky vymožené a vyplacené před splněním</w:t>
      </w:r>
    </w:p>
    <w:p w14:paraId="2478D9C5" w14:textId="27042642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podmínek milostivého léta se již nevrací a rovněž se nelze zpětně domáhat započtení plnění na jistinu, pokud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k němu došlo v minulosti.</w:t>
      </w:r>
    </w:p>
    <w:p w14:paraId="3A046455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4B4727D1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Smyslem milostivého léta je motivovat povinného k aktivitě vedoucí k ukončení dlouhodobě bezvýsledných</w:t>
      </w:r>
    </w:p>
    <w:p w14:paraId="5C57F101" w14:textId="199C3C20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exekucí</w:t>
      </w:r>
      <w:r>
        <w:rPr>
          <w:rFonts w:ascii="Calibri" w:hAnsi="Calibri" w:cs="Calibri"/>
          <w:sz w:val="21"/>
          <w:szCs w:val="21"/>
        </w:rPr>
        <w:t xml:space="preserve">, kde oprávněným je stát nebo jiný veřejnoprávní subjekt, </w:t>
      </w:r>
      <w:proofErr w:type="gramStart"/>
      <w:r>
        <w:rPr>
          <w:rFonts w:ascii="Calibri" w:hAnsi="Calibri" w:cs="Calibri"/>
          <w:sz w:val="21"/>
          <w:szCs w:val="21"/>
        </w:rPr>
        <w:t>a nebo</w:t>
      </w:r>
      <w:proofErr w:type="gramEnd"/>
      <w:r>
        <w:rPr>
          <w:rFonts w:ascii="Calibri" w:hAnsi="Calibri" w:cs="Calibri"/>
          <w:sz w:val="21"/>
          <w:szCs w:val="21"/>
        </w:rPr>
        <w:t xml:space="preserve"> právnická osoba</w:t>
      </w:r>
      <w:r>
        <w:rPr>
          <w:rFonts w:ascii="Calibri" w:hAnsi="Calibri" w:cs="Calibri"/>
          <w:sz w:val="21"/>
          <w:szCs w:val="21"/>
        </w:rPr>
        <w:t>, v níž stát nebo územní samosprávné celky mají většinovou majetkovou účast</w:t>
      </w:r>
      <w:r>
        <w:rPr>
          <w:rFonts w:ascii="Calibri" w:hAnsi="Calibri" w:cs="Calibri"/>
          <w:sz w:val="21"/>
          <w:szCs w:val="21"/>
        </w:rPr>
        <w:t>, ne ukončovat exekuce realizované nezávisle na povinném některým z nucených způsobů exekuce.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</w:rPr>
        <w:t>Proto bude milostivé léto zásadně dopadat jen na úhrady povinnéh</w:t>
      </w:r>
      <w:r>
        <w:rPr>
          <w:rFonts w:ascii="Calibri" w:hAnsi="Calibri" w:cs="Calibri"/>
          <w:sz w:val="21"/>
          <w:szCs w:val="21"/>
        </w:rPr>
        <w:t>o v období od 28.10.2021 do 28.1.2022,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ne na srážky ze mzdy provedené v této době, i kdyby byl oprávněný některým z v zákoně vyjmenovaných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subjektů.</w:t>
      </w:r>
    </w:p>
    <w:p w14:paraId="5D7F3199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4112A4F" w14:textId="77777777" w:rsidR="00A85399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 případě nejasností je samozřejmě možné podat návrh na zastavení exekuce. Bude-li oprávněný se zastavením</w:t>
      </w:r>
    </w:p>
    <w:p w14:paraId="165A8E0D" w14:textId="311E6ECC" w:rsidR="000C5548" w:rsidRDefault="00A85399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exekuce souhlasit, exekutor exekuci zastaví. Pokud oprávněný nebude souhlasit se zastavením exekuce,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exekutor postoupí návrh na zastavení exekuce soudu, který spornou otázku splnění nároku na uplatnění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milostivého léta rozhodne.</w:t>
      </w:r>
    </w:p>
    <w:p w14:paraId="778D556F" w14:textId="04136E8D" w:rsidR="007E2F3F" w:rsidRDefault="007E2F3F" w:rsidP="00A853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884C7FF" w14:textId="77777777" w:rsidR="007E2F3F" w:rsidRDefault="007E2F3F" w:rsidP="00A85399">
      <w:pPr>
        <w:autoSpaceDE w:val="0"/>
        <w:autoSpaceDN w:val="0"/>
        <w:adjustRightInd w:val="0"/>
        <w:spacing w:after="0" w:line="240" w:lineRule="auto"/>
        <w:jc w:val="both"/>
      </w:pPr>
    </w:p>
    <w:sectPr w:rsidR="007E2F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99"/>
    <w:rsid w:val="000C5548"/>
    <w:rsid w:val="007E2F3F"/>
    <w:rsid w:val="00A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F89"/>
  <w15:chartTrackingRefBased/>
  <w15:docId w15:val="{1EE89AF6-ADA6-4426-8E34-17513719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jicha</dc:creator>
  <cp:keywords/>
  <dc:description/>
  <cp:lastModifiedBy>jicha</cp:lastModifiedBy>
  <cp:revision>2</cp:revision>
  <dcterms:created xsi:type="dcterms:W3CDTF">2021-11-09T11:32:00Z</dcterms:created>
  <dcterms:modified xsi:type="dcterms:W3CDTF">2021-11-09T11:35:00Z</dcterms:modified>
</cp:coreProperties>
</file>